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3F" w:rsidRPr="00612F3F" w:rsidRDefault="00612F3F" w:rsidP="00612F3F">
      <w:pPr>
        <w:jc w:val="both"/>
        <w:rPr>
          <w:b/>
          <w:sz w:val="32"/>
        </w:rPr>
      </w:pPr>
      <w:r w:rsidRPr="00612F3F">
        <w:rPr>
          <w:b/>
          <w:sz w:val="32"/>
        </w:rPr>
        <w:t>Tamron 35-150</w:t>
      </w:r>
      <w:r w:rsidR="004B2627">
        <w:rPr>
          <w:b/>
          <w:sz w:val="32"/>
        </w:rPr>
        <w:t xml:space="preserve"> </w:t>
      </w:r>
      <w:r w:rsidRPr="00612F3F">
        <w:rPr>
          <w:b/>
          <w:sz w:val="32"/>
        </w:rPr>
        <w:t>mm F/2-2.8 Di III VXD pro Sony FE</w:t>
      </w:r>
    </w:p>
    <w:p w:rsidR="00612F3F" w:rsidRPr="00612F3F" w:rsidRDefault="00612F3F" w:rsidP="00612F3F">
      <w:pPr>
        <w:jc w:val="both"/>
        <w:rPr>
          <w:sz w:val="20"/>
        </w:rPr>
      </w:pPr>
      <w:r w:rsidRPr="00612F3F">
        <w:rPr>
          <w:sz w:val="20"/>
        </w:rPr>
        <w:t xml:space="preserve">Objektiv 35-150 mm F/2-2,8 Di III VXD je cestovní objektiv se zoomem, který se vyznačuje mimořádně vysokým rozsahem. Pokrývá nejběžnější rozsah ohniskových vzdáleností od 35mm širokoúhlého objektivu po 150mm teleobjektiv a je prvním </w:t>
      </w:r>
      <w:proofErr w:type="spellStart"/>
      <w:r w:rsidRPr="00612F3F">
        <w:rPr>
          <w:sz w:val="20"/>
        </w:rPr>
        <w:t>zoomovým</w:t>
      </w:r>
      <w:proofErr w:type="spellEnd"/>
      <w:r w:rsidRPr="00612F3F">
        <w:rPr>
          <w:sz w:val="20"/>
        </w:rPr>
        <w:t xml:space="preserve"> objektivem na světě s počáteční světelností F/2 pro </w:t>
      </w:r>
      <w:proofErr w:type="spellStart"/>
      <w:r w:rsidRPr="00612F3F">
        <w:rPr>
          <w:sz w:val="20"/>
        </w:rPr>
        <w:t>bezzrcadlovky</w:t>
      </w:r>
      <w:proofErr w:type="spellEnd"/>
      <w:r w:rsidRPr="00612F3F">
        <w:rPr>
          <w:sz w:val="20"/>
        </w:rPr>
        <w:t xml:space="preserve"> s plnoformátovým systémovým fotoaparátem s bajonetem Sony E-</w:t>
      </w:r>
      <w:proofErr w:type="spellStart"/>
      <w:r w:rsidRPr="00612F3F">
        <w:rPr>
          <w:sz w:val="20"/>
        </w:rPr>
        <w:t>mount</w:t>
      </w:r>
      <w:proofErr w:type="spellEnd"/>
      <w:r w:rsidRPr="00612F3F">
        <w:rPr>
          <w:sz w:val="20"/>
        </w:rPr>
        <w:t>. Je vhodný pro všechny typické situace cestovní fotografie - od krajin a architektury přes portréty a skupinové snímky až po každodenní momentky, a to i pro motivy s malým množstvím světla. Objektiv 35-150 mm F/2-2,8 je vybaven rychlým a přesným automatickým ostřením s technologií VXD a umožňuje ostře zachytit každý okamžik na snímku. Inspirativní a jedinečná kombinace velkého rozsahu ohniskových vzdáleností, vysoké rychlosti a pokročilé technologie v jednom objektivu otevírá novou tvůrčí svobodu.</w:t>
      </w:r>
    </w:p>
    <w:p w:rsidR="00FB20D9" w:rsidRDefault="00612F3F" w:rsidP="00612F3F">
      <w:pPr>
        <w:jc w:val="both"/>
        <w:rPr>
          <w:b/>
        </w:rPr>
      </w:pPr>
      <w:r w:rsidRPr="00612F3F">
        <w:rPr>
          <w:b/>
          <w:sz w:val="28"/>
        </w:rPr>
        <w:t xml:space="preserve">Ocenění:    </w:t>
      </w:r>
      <w:r w:rsidRPr="00612F3F">
        <w:rPr>
          <w:b/>
          <w:sz w:val="44"/>
        </w:rPr>
        <w:br/>
      </w:r>
      <w:r w:rsidRPr="00612F3F">
        <w:rPr>
          <w:b/>
        </w:rPr>
        <w:t xml:space="preserve">TIPA </w:t>
      </w:r>
      <w:proofErr w:type="spellStart"/>
      <w:r w:rsidRPr="00612F3F">
        <w:rPr>
          <w:b/>
        </w:rPr>
        <w:t>Awards</w:t>
      </w:r>
      <w:proofErr w:type="spellEnd"/>
      <w:r w:rsidRPr="00612F3F">
        <w:rPr>
          <w:b/>
        </w:rPr>
        <w:t xml:space="preserve"> 2022 – BEST TRAVEL ZOOM LENS</w:t>
      </w:r>
    </w:p>
    <w:p w:rsidR="00612F3F" w:rsidRPr="00FB20D9" w:rsidRDefault="00FB20D9" w:rsidP="00612F3F">
      <w:pPr>
        <w:jc w:val="both"/>
        <w:rPr>
          <w:b/>
        </w:rPr>
      </w:pPr>
      <w:r w:rsidRPr="00C81691">
        <w:rPr>
          <w:b/>
        </w:rPr>
        <w:t xml:space="preserve">EISA </w:t>
      </w:r>
      <w:proofErr w:type="spellStart"/>
      <w:r w:rsidRPr="00C81691">
        <w:rPr>
          <w:b/>
        </w:rPr>
        <w:t>Awards</w:t>
      </w:r>
      <w:proofErr w:type="spellEnd"/>
      <w:r w:rsidRPr="00C81691">
        <w:rPr>
          <w:b/>
        </w:rPr>
        <w:t xml:space="preserve"> 202</w:t>
      </w:r>
      <w:r>
        <w:rPr>
          <w:b/>
        </w:rPr>
        <w:t>2</w:t>
      </w:r>
      <w:r w:rsidRPr="00C81691">
        <w:rPr>
          <w:b/>
        </w:rPr>
        <w:t>-202</w:t>
      </w:r>
      <w:r>
        <w:rPr>
          <w:b/>
        </w:rPr>
        <w:t>3</w:t>
      </w:r>
      <w:r w:rsidRPr="00C81691">
        <w:rPr>
          <w:b/>
        </w:rPr>
        <w:t xml:space="preserve"> –</w:t>
      </w:r>
      <w:r>
        <w:rPr>
          <w:b/>
        </w:rPr>
        <w:t xml:space="preserve"> BEST PRODUCT - ZOOM LENS</w:t>
      </w:r>
    </w:p>
    <w:p w:rsidR="00612F3F" w:rsidRPr="00612F3F" w:rsidRDefault="00612F3F" w:rsidP="00612F3F">
      <w:pPr>
        <w:jc w:val="both"/>
      </w:pPr>
      <w:r w:rsidRPr="00612F3F">
        <w:rPr>
          <w:noProof/>
          <w:lang w:eastAsia="cs-CZ"/>
        </w:rPr>
        <w:drawing>
          <wp:inline distT="0" distB="0" distL="0" distR="0" wp14:anchorId="064B083F" wp14:editId="07881210">
            <wp:extent cx="922644" cy="1188000"/>
            <wp:effectExtent l="0" t="0" r="0" b="0"/>
            <wp:docPr id="1" name="Obrázek 1" descr="T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7" r="27506"/>
                    <a:stretch/>
                  </pic:blipFill>
                  <pic:spPr bwMode="auto">
                    <a:xfrm>
                      <a:off x="0" y="0"/>
                      <a:ext cx="922644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20D9">
        <w:tab/>
      </w:r>
      <w:r w:rsidR="00FB20D9">
        <w:rPr>
          <w:noProof/>
          <w:lang w:eastAsia="cs-CZ"/>
        </w:rPr>
        <w:drawing>
          <wp:inline distT="0" distB="0" distL="0" distR="0" wp14:anchorId="7B89F51B" wp14:editId="768D1314">
            <wp:extent cx="2195215" cy="1188000"/>
            <wp:effectExtent l="0" t="0" r="0" b="0"/>
            <wp:docPr id="2" name="Obrázek 2" descr="C:\Users\martant\Desktop\TAMRON - nové popisy\OBJEKTIVY\EISA-Award-Tamron-35-150mm-F2-2.8-Di-III-V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nt\Desktop\TAMRON - nové popisy\OBJEKTIVY\EISA-Award-Tamron-35-150mm-F2-2.8-Di-III-VX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15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92B" w:rsidRPr="00612F3F" w:rsidRDefault="0096392B" w:rsidP="0096392B">
      <w:pPr>
        <w:jc w:val="both"/>
        <w:rPr>
          <w:sz w:val="20"/>
        </w:rPr>
      </w:pPr>
      <w:r w:rsidRPr="00612F3F">
        <w:rPr>
          <w:b/>
          <w:sz w:val="28"/>
        </w:rPr>
        <w:t>Přednosti objektivu:</w:t>
      </w:r>
    </w:p>
    <w:p w:rsidR="0096392B" w:rsidRPr="00932231" w:rsidRDefault="00932231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32231">
        <w:rPr>
          <w:b/>
          <w:sz w:val="24"/>
        </w:rPr>
        <w:t>Vysoká světelnost objektivu</w:t>
      </w:r>
    </w:p>
    <w:p w:rsidR="0096392B" w:rsidRPr="00932231" w:rsidRDefault="0096392B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32231">
        <w:rPr>
          <w:b/>
          <w:sz w:val="24"/>
        </w:rPr>
        <w:t>Rozsah ohniskové vzdálenosti</w:t>
      </w:r>
    </w:p>
    <w:p w:rsidR="00932231" w:rsidRPr="00932231" w:rsidRDefault="00932231" w:rsidP="00932231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32231">
        <w:rPr>
          <w:b/>
          <w:sz w:val="24"/>
        </w:rPr>
        <w:t>Univerzálnost použití</w:t>
      </w:r>
    </w:p>
    <w:p w:rsidR="0096392B" w:rsidRPr="00932231" w:rsidRDefault="00024EB2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32231">
        <w:rPr>
          <w:b/>
          <w:sz w:val="24"/>
        </w:rPr>
        <w:t xml:space="preserve">Rychlé </w:t>
      </w:r>
      <w:r w:rsidR="0096392B" w:rsidRPr="00932231">
        <w:rPr>
          <w:b/>
          <w:sz w:val="24"/>
        </w:rPr>
        <w:t>ostření</w:t>
      </w:r>
    </w:p>
    <w:p w:rsidR="0096392B" w:rsidRPr="00932231" w:rsidRDefault="00932231" w:rsidP="0096392B">
      <w:pPr>
        <w:pStyle w:val="Odstavecseseznamem"/>
        <w:numPr>
          <w:ilvl w:val="0"/>
          <w:numId w:val="5"/>
        </w:numPr>
        <w:jc w:val="both"/>
        <w:rPr>
          <w:b/>
          <w:sz w:val="24"/>
        </w:rPr>
      </w:pPr>
      <w:r w:rsidRPr="00932231">
        <w:rPr>
          <w:b/>
          <w:sz w:val="24"/>
        </w:rPr>
        <w:t>Tamron Lens Utility</w:t>
      </w:r>
    </w:p>
    <w:p w:rsidR="00612F3F" w:rsidRPr="00612F3F" w:rsidRDefault="00612F3F" w:rsidP="00612F3F">
      <w:pPr>
        <w:jc w:val="both"/>
        <w:rPr>
          <w:b/>
          <w:sz w:val="24"/>
        </w:rPr>
      </w:pPr>
      <w:bookmarkStart w:id="0" w:name="_GoBack"/>
      <w:bookmarkEnd w:id="0"/>
      <w:r w:rsidRPr="00612F3F">
        <w:rPr>
          <w:b/>
          <w:sz w:val="24"/>
        </w:rPr>
        <w:t xml:space="preserve">Di III - </w:t>
      </w:r>
      <w:proofErr w:type="spellStart"/>
      <w:r w:rsidRPr="00612F3F">
        <w:rPr>
          <w:b/>
          <w:sz w:val="24"/>
        </w:rPr>
        <w:t>Bezzrcadlové</w:t>
      </w:r>
      <w:proofErr w:type="spellEnd"/>
      <w:r w:rsidRPr="00612F3F">
        <w:rPr>
          <w:b/>
          <w:sz w:val="24"/>
        </w:rPr>
        <w:t xml:space="preserve"> systémy</w:t>
      </w:r>
    </w:p>
    <w:p w:rsidR="00612F3F" w:rsidRPr="00612F3F" w:rsidRDefault="00612F3F" w:rsidP="00612F3F">
      <w:pPr>
        <w:jc w:val="both"/>
        <w:rPr>
          <w:sz w:val="20"/>
        </w:rPr>
      </w:pPr>
      <w:r w:rsidRPr="00612F3F">
        <w:rPr>
          <w:sz w:val="20"/>
        </w:rPr>
        <w:t xml:space="preserve">Tyto objektivy jsou určeny výhradně pro </w:t>
      </w:r>
      <w:proofErr w:type="spellStart"/>
      <w:r w:rsidRPr="00612F3F">
        <w:rPr>
          <w:sz w:val="20"/>
        </w:rPr>
        <w:t>mirrorless</w:t>
      </w:r>
      <w:proofErr w:type="spellEnd"/>
      <w:r w:rsidRPr="00612F3F">
        <w:rPr>
          <w:sz w:val="20"/>
        </w:rPr>
        <w:t xml:space="preserve"> fotoaparáty (neboli </w:t>
      </w:r>
      <w:proofErr w:type="spellStart"/>
      <w:r w:rsidRPr="00612F3F">
        <w:rPr>
          <w:sz w:val="20"/>
        </w:rPr>
        <w:t>bezzrcadlovky</w:t>
      </w:r>
      <w:proofErr w:type="spellEnd"/>
      <w:r w:rsidRPr="00612F3F">
        <w:rPr>
          <w:sz w:val="20"/>
        </w:rPr>
        <w:t>) a nemohou být použity s digitálními zrcadlovkami.</w:t>
      </w:r>
    </w:p>
    <w:p w:rsidR="00612F3F" w:rsidRPr="00612F3F" w:rsidRDefault="00612F3F" w:rsidP="00612F3F">
      <w:pPr>
        <w:jc w:val="both"/>
        <w:rPr>
          <w:b/>
          <w:sz w:val="24"/>
        </w:rPr>
      </w:pPr>
      <w:r w:rsidRPr="00612F3F">
        <w:rPr>
          <w:b/>
          <w:sz w:val="24"/>
        </w:rPr>
        <w:t>Automatické ostření VXD</w:t>
      </w:r>
    </w:p>
    <w:p w:rsidR="00612F3F" w:rsidRPr="00612F3F" w:rsidRDefault="00612F3F" w:rsidP="00612F3F">
      <w:pPr>
        <w:jc w:val="both"/>
        <w:rPr>
          <w:sz w:val="20"/>
        </w:rPr>
      </w:pPr>
      <w:r w:rsidRPr="00612F3F">
        <w:rPr>
          <w:sz w:val="20"/>
        </w:rPr>
        <w:t>Automatické zaostřování VXD je světovou premiérou: Je to první motor s lineárním zaostřováním, vyvinutý společností Tamron pro vynikající automatické zaostřování. Dva moduly VXD, které pracují v plovoucím systému a jsou ovládány elektronickými impulsy, zajišťují rychlé a přesné zaostření na blízké i vzdálené objekty. Nový motor také zaručuje vylepšené sledování AF, například při fotografování sportů. Automatické zaostřování funguje tak tiše, že můžete fotografovat i v situacích, které vyžadují naprostý klid a pohodu.</w:t>
      </w:r>
    </w:p>
    <w:p w:rsidR="00612F3F" w:rsidRPr="00612F3F" w:rsidRDefault="00612F3F" w:rsidP="00612F3F">
      <w:pPr>
        <w:jc w:val="both"/>
        <w:rPr>
          <w:b/>
          <w:sz w:val="24"/>
        </w:rPr>
      </w:pPr>
      <w:r w:rsidRPr="00612F3F">
        <w:rPr>
          <w:b/>
          <w:sz w:val="24"/>
        </w:rPr>
        <w:t>MR - Ochrana proti stříkající vodě</w:t>
      </w:r>
    </w:p>
    <w:p w:rsidR="00612F3F" w:rsidRPr="00612F3F" w:rsidRDefault="00612F3F" w:rsidP="00612F3F">
      <w:pPr>
        <w:jc w:val="both"/>
        <w:rPr>
          <w:sz w:val="20"/>
        </w:rPr>
      </w:pPr>
      <w:r w:rsidRPr="00612F3F">
        <w:rPr>
          <w:sz w:val="20"/>
        </w:rPr>
        <w:t>Objektivy Tamron mají plášť odolný proti povětrnostním vlivům, které optimálně chrání citlivý interiér před větrem a počasím. Robustní vnější plášť je účinně utěsněn proti vnikání vlhkosti ve všech kritických bodech (např. mezi zaostřovacím kroužkem a bajonetovým spojením). To zaručuje spolehlivý provoz i v těch nejnepříznivějších venkovních podmínkách fotografování.</w:t>
      </w:r>
    </w:p>
    <w:p w:rsidR="00932231" w:rsidRPr="007C1433" w:rsidRDefault="00932231" w:rsidP="00932231">
      <w:pPr>
        <w:jc w:val="both"/>
        <w:rPr>
          <w:b/>
          <w:sz w:val="24"/>
        </w:rPr>
      </w:pPr>
      <w:r w:rsidRPr="007C1433">
        <w:rPr>
          <w:b/>
          <w:sz w:val="24"/>
        </w:rPr>
        <w:t>ASL - Asférické čočky</w:t>
      </w:r>
    </w:p>
    <w:p w:rsidR="00932231" w:rsidRPr="00F63882" w:rsidRDefault="00932231" w:rsidP="00932231">
      <w:pPr>
        <w:jc w:val="both"/>
        <w:rPr>
          <w:sz w:val="20"/>
        </w:rPr>
      </w:pPr>
      <w:r w:rsidRPr="00F63882">
        <w:rPr>
          <w:sz w:val="20"/>
        </w:rPr>
        <w:t>Zkratka „ASL“ (</w:t>
      </w:r>
      <w:proofErr w:type="spellStart"/>
      <w:r w:rsidRPr="00F63882">
        <w:rPr>
          <w:sz w:val="20"/>
        </w:rPr>
        <w:t>ASpherical</w:t>
      </w:r>
      <w:proofErr w:type="spellEnd"/>
      <w:r w:rsidRPr="00F63882">
        <w:rPr>
          <w:sz w:val="20"/>
        </w:rPr>
        <w:t xml:space="preserve"> Lens) označuje hybridní asférické prvky čočky. Opravují typické aberace </w:t>
      </w:r>
      <w:proofErr w:type="spellStart"/>
      <w:r w:rsidRPr="00F63882">
        <w:rPr>
          <w:sz w:val="20"/>
        </w:rPr>
        <w:t>zoomových</w:t>
      </w:r>
      <w:proofErr w:type="spellEnd"/>
      <w:r w:rsidRPr="00F63882">
        <w:rPr>
          <w:sz w:val="20"/>
        </w:rPr>
        <w:t xml:space="preserve"> objektivů, například sférické aberace (chyby ostrosti). Kromě toho můžete vyměnit několik dalších optických prvků, což umožňuje kompaktnější design a</w:t>
      </w:r>
      <w:r>
        <w:rPr>
          <w:sz w:val="20"/>
        </w:rPr>
        <w:t xml:space="preserve"> trvale vysokou kvalitu obrazu.</w:t>
      </w:r>
    </w:p>
    <w:p w:rsidR="00612F3F" w:rsidRPr="00932231" w:rsidRDefault="00612F3F" w:rsidP="00612F3F">
      <w:pPr>
        <w:jc w:val="both"/>
        <w:rPr>
          <w:sz w:val="20"/>
        </w:rPr>
      </w:pPr>
      <w:r w:rsidRPr="00932231">
        <w:rPr>
          <w:b/>
          <w:sz w:val="24"/>
        </w:rPr>
        <w:t>Speciální optické členy LD</w:t>
      </w:r>
    </w:p>
    <w:p w:rsidR="00612F3F" w:rsidRPr="00932231" w:rsidRDefault="00612F3F" w:rsidP="00612F3F">
      <w:pPr>
        <w:jc w:val="both"/>
        <w:rPr>
          <w:sz w:val="20"/>
        </w:rPr>
      </w:pPr>
      <w:r w:rsidRPr="00932231">
        <w:rPr>
          <w:sz w:val="20"/>
        </w:rPr>
        <w:lastRenderedPageBreak/>
        <w:t>Barevná vada je častou vadou optiky, projevující se mnoha způsoby. Často hovoříme o takzvané chromatické aberaci, která se vyskytuje častěji u širokoúhlých objektivů. LD členy jsou vyrobeny ze speciálních optických skel s extrémně nízkým rozptylem světla, která efektivně kompenzují barevnou vadu, obzvláště patrnou při používání teleobjektivů v krajní poloze.</w:t>
      </w:r>
    </w:p>
    <w:p w:rsidR="00612F3F" w:rsidRPr="00932231" w:rsidRDefault="00612F3F" w:rsidP="00612F3F">
      <w:pPr>
        <w:rPr>
          <w:b/>
          <w:sz w:val="24"/>
        </w:rPr>
      </w:pPr>
      <w:r w:rsidRPr="00932231">
        <w:rPr>
          <w:b/>
          <w:sz w:val="24"/>
        </w:rPr>
        <w:t>IF - Vnitřní zaostřování</w:t>
      </w:r>
    </w:p>
    <w:p w:rsidR="00612F3F" w:rsidRPr="00932231" w:rsidRDefault="00612F3F" w:rsidP="00612F3F">
      <w:pPr>
        <w:jc w:val="both"/>
        <w:rPr>
          <w:b/>
          <w:sz w:val="24"/>
        </w:rPr>
      </w:pPr>
      <w:r w:rsidRPr="00932231">
        <w:rPr>
          <w:sz w:val="20"/>
        </w:rPr>
        <w:t xml:space="preserve">U objektivů s vnitřním zaostřováním se délka objektivu při zaostřování nemění a filtrační kroužek s ním neotáčí. To usnadňuje manipulaci, zejména s delšími objektivy s </w:t>
      </w:r>
      <w:proofErr w:type="spellStart"/>
      <w:r w:rsidRPr="00932231">
        <w:rPr>
          <w:sz w:val="20"/>
        </w:rPr>
        <w:t>telezoomem</w:t>
      </w:r>
      <w:proofErr w:type="spellEnd"/>
      <w:r w:rsidRPr="00932231">
        <w:rPr>
          <w:sz w:val="20"/>
        </w:rPr>
        <w:t>, a také fotografování s polarizačními a gradačními filtry. Mezi další výhody patří kratší zaostřovací vzdálenost v celé oblasti zaostření a nižší ztráty světla v rozích obrazu (</w:t>
      </w:r>
      <w:proofErr w:type="spellStart"/>
      <w:r w:rsidRPr="00932231">
        <w:rPr>
          <w:sz w:val="20"/>
        </w:rPr>
        <w:t>vinětace</w:t>
      </w:r>
      <w:proofErr w:type="spellEnd"/>
      <w:r w:rsidRPr="00932231">
        <w:rPr>
          <w:sz w:val="20"/>
        </w:rPr>
        <w:t>) a menší aberace, související s ostřením.</w:t>
      </w:r>
      <w:r w:rsidRPr="00932231">
        <w:rPr>
          <w:sz w:val="20"/>
        </w:rPr>
        <w:br/>
      </w:r>
      <w:r w:rsidRPr="00612F3F">
        <w:rPr>
          <w:color w:val="FF0000"/>
          <w:sz w:val="20"/>
        </w:rPr>
        <w:br/>
      </w:r>
      <w:r w:rsidRPr="00932231">
        <w:rPr>
          <w:b/>
          <w:sz w:val="24"/>
        </w:rPr>
        <w:t xml:space="preserve">Antireflexní a </w:t>
      </w:r>
      <w:proofErr w:type="spellStart"/>
      <w:r w:rsidRPr="00932231">
        <w:rPr>
          <w:b/>
          <w:sz w:val="24"/>
        </w:rPr>
        <w:t>high-tech</w:t>
      </w:r>
      <w:proofErr w:type="spellEnd"/>
      <w:r w:rsidRPr="00932231">
        <w:rPr>
          <w:b/>
          <w:sz w:val="24"/>
        </w:rPr>
        <w:t xml:space="preserve"> vrstvy - FLR</w:t>
      </w:r>
    </w:p>
    <w:p w:rsidR="00612F3F" w:rsidRPr="00932231" w:rsidRDefault="00612F3F" w:rsidP="00612F3F">
      <w:pPr>
        <w:jc w:val="both"/>
        <w:rPr>
          <w:sz w:val="20"/>
        </w:rPr>
      </w:pPr>
      <w:r w:rsidRPr="00932231">
        <w:rPr>
          <w:sz w:val="20"/>
        </w:rPr>
        <w:t>Fluoridový povlak trvale chrání přední čočku před kontaminací. Kapky oleje a vody nepřilnou k povrchu, který se proto velmi snadno čistí.</w:t>
      </w:r>
    </w:p>
    <w:p w:rsidR="00932231" w:rsidRPr="00932231" w:rsidRDefault="00932231" w:rsidP="00932231">
      <w:pPr>
        <w:jc w:val="both"/>
        <w:rPr>
          <w:b/>
          <w:sz w:val="24"/>
        </w:rPr>
      </w:pPr>
      <w:r w:rsidRPr="00932231">
        <w:rPr>
          <w:b/>
          <w:sz w:val="24"/>
        </w:rPr>
        <w:t>ZL - Zámek zoomu</w:t>
      </w:r>
    </w:p>
    <w:p w:rsidR="00932231" w:rsidRPr="00932231" w:rsidRDefault="00932231" w:rsidP="00612F3F">
      <w:pPr>
        <w:jc w:val="both"/>
        <w:rPr>
          <w:sz w:val="20"/>
        </w:rPr>
      </w:pPr>
      <w:r w:rsidRPr="00932231">
        <w:rPr>
          <w:sz w:val="20"/>
        </w:rPr>
        <w:t>ZOOM LOCK umožňuje uzamknutí na jakémkoliv ohnisku.</w:t>
      </w:r>
    </w:p>
    <w:p w:rsidR="00612F3F" w:rsidRPr="00932231" w:rsidRDefault="00612F3F" w:rsidP="00612F3F">
      <w:pPr>
        <w:jc w:val="both"/>
        <w:rPr>
          <w:b/>
          <w:sz w:val="24"/>
        </w:rPr>
      </w:pPr>
      <w:r w:rsidRPr="00932231">
        <w:rPr>
          <w:b/>
          <w:sz w:val="24"/>
        </w:rPr>
        <w:t>Tamron Lens Utility</w:t>
      </w:r>
    </w:p>
    <w:p w:rsidR="00612F3F" w:rsidRPr="00932231" w:rsidRDefault="00612F3F" w:rsidP="00612F3F">
      <w:pPr>
        <w:jc w:val="both"/>
        <w:rPr>
          <w:sz w:val="20"/>
        </w:rPr>
      </w:pPr>
      <w:r w:rsidRPr="00932231">
        <w:rPr>
          <w:sz w:val="20"/>
        </w:rPr>
        <w:t>Nový software "TAMRON Lens Utility" byl vyvinut speciálně pro konfiguraci kompatibilních objektivů. TAMRON Lens Utility lze ovládat pomocí počítače připojením objektivu z jeho konektorového portu prostřednictvím USB-C kabelu TAMRON. Uživatelé mohou prostřednictvím objektivu přizpůsobovat funkce a aktualizovat firmware. Pomocí individuálního nastavení lze objektiv optimálně přizpůsobit příslušné situaci snímání, například fotografování nebo natáčení videa.</w:t>
      </w:r>
    </w:p>
    <w:p w:rsidR="0096392B" w:rsidRPr="00612F3F" w:rsidRDefault="0096392B" w:rsidP="00612F3F">
      <w:pPr>
        <w:jc w:val="both"/>
        <w:rPr>
          <w:sz w:val="20"/>
        </w:rPr>
      </w:pPr>
      <w:r w:rsidRPr="00612F3F">
        <w:rPr>
          <w:b/>
          <w:sz w:val="28"/>
        </w:rPr>
        <w:t>Parametry:</w:t>
      </w:r>
    </w:p>
    <w:p w:rsidR="0096392B" w:rsidRPr="00612F3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Typ bajonetu</w:t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  <w:t>Sony E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Optický zoom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024EB2" w:rsidRPr="00932231">
        <w:rPr>
          <w:rFonts w:cstheme="minorHAnsi"/>
          <w:sz w:val="20"/>
        </w:rPr>
        <w:t>4,3</w:t>
      </w:r>
      <w:r w:rsidRPr="00932231">
        <w:rPr>
          <w:rFonts w:cstheme="minorHAnsi"/>
          <w:sz w:val="20"/>
        </w:rPr>
        <w:t>x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Minimální ohnisková vzdálenost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35</w:t>
      </w:r>
      <w:r w:rsidRPr="00932231">
        <w:rPr>
          <w:rFonts w:cstheme="minorHAnsi"/>
          <w:sz w:val="20"/>
        </w:rPr>
        <w:t xml:space="preserve"> mm 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Maximální ohnisková vzdálenost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15</w:t>
      </w:r>
      <w:r w:rsidRPr="00932231">
        <w:rPr>
          <w:rFonts w:cstheme="minorHAnsi"/>
          <w:sz w:val="20"/>
        </w:rPr>
        <w:t>0 mm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Ohnisková vzdálenost (</w:t>
      </w:r>
      <w:proofErr w:type="spellStart"/>
      <w:r w:rsidRPr="00932231">
        <w:rPr>
          <w:rFonts w:cstheme="minorHAnsi"/>
          <w:sz w:val="20"/>
        </w:rPr>
        <w:t>eqv</w:t>
      </w:r>
      <w:proofErr w:type="spellEnd"/>
      <w:r w:rsidRPr="00932231">
        <w:rPr>
          <w:rFonts w:cstheme="minorHAnsi"/>
          <w:sz w:val="20"/>
        </w:rPr>
        <w:t>. 35mm)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35</w:t>
      </w:r>
      <w:r w:rsidRPr="00932231">
        <w:rPr>
          <w:rFonts w:cstheme="minorHAnsi"/>
          <w:sz w:val="20"/>
        </w:rPr>
        <w:t>-</w:t>
      </w:r>
      <w:r w:rsidR="00932231" w:rsidRPr="00932231">
        <w:rPr>
          <w:rFonts w:cstheme="minorHAnsi"/>
          <w:sz w:val="20"/>
        </w:rPr>
        <w:t>150</w:t>
      </w:r>
      <w:r w:rsidRPr="00932231">
        <w:rPr>
          <w:rFonts w:cstheme="minorHAnsi"/>
          <w:sz w:val="20"/>
        </w:rPr>
        <w:t xml:space="preserve"> mm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Světelnost objektivu zoom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2-2,8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Světelnost objektivu - nejkratší ohnisko (F)</w:t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2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Světelnost objektivu - nejdelší ohnisko (F)</w:t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2,8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Maximální clona (F)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22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Konstrukce objektivu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21</w:t>
      </w:r>
      <w:r w:rsidRPr="00932231">
        <w:rPr>
          <w:rFonts w:cstheme="minorHAnsi"/>
          <w:sz w:val="20"/>
        </w:rPr>
        <w:t xml:space="preserve"> členů / 1</w:t>
      </w:r>
      <w:r w:rsidR="00932231" w:rsidRPr="00932231">
        <w:rPr>
          <w:rFonts w:cstheme="minorHAnsi"/>
          <w:sz w:val="20"/>
        </w:rPr>
        <w:t>5</w:t>
      </w:r>
      <w:r w:rsidRPr="00932231">
        <w:rPr>
          <w:rFonts w:cstheme="minorHAnsi"/>
          <w:sz w:val="20"/>
        </w:rPr>
        <w:t xml:space="preserve"> skupin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Stabilizátor optický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Ne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Typ sluneční clony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HA0</w:t>
      </w:r>
      <w:r w:rsidR="00932231" w:rsidRPr="00932231">
        <w:rPr>
          <w:rFonts w:cstheme="minorHAnsi"/>
          <w:sz w:val="20"/>
        </w:rPr>
        <w:t>58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Délka objektivu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1</w:t>
      </w:r>
      <w:r w:rsidR="00932231" w:rsidRPr="00932231">
        <w:rPr>
          <w:rFonts w:cstheme="minorHAnsi"/>
          <w:sz w:val="20"/>
        </w:rPr>
        <w:t>5</w:t>
      </w:r>
      <w:r w:rsidR="00024EB2" w:rsidRPr="00932231">
        <w:rPr>
          <w:rFonts w:cstheme="minorHAnsi"/>
          <w:sz w:val="20"/>
        </w:rPr>
        <w:t>8</w:t>
      </w:r>
      <w:r w:rsidRPr="00932231">
        <w:rPr>
          <w:rFonts w:cstheme="minorHAnsi"/>
          <w:sz w:val="20"/>
        </w:rPr>
        <w:t xml:space="preserve"> mm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Počet lamel clony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9</w:t>
      </w:r>
    </w:p>
    <w:p w:rsidR="0096392B" w:rsidRPr="00932231" w:rsidRDefault="0096392B" w:rsidP="00932231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Vhodný pro žánr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Krajina, Portréty, Sport, Reportáže, Street foto, Koncerty, Video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Rozdělení podle ohniska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Univerzální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Vhodný pro formát snímače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 xml:space="preserve">Full </w:t>
      </w:r>
      <w:proofErr w:type="spellStart"/>
      <w:r w:rsidRPr="00932231">
        <w:rPr>
          <w:rFonts w:cstheme="minorHAnsi"/>
          <w:sz w:val="20"/>
        </w:rPr>
        <w:t>Frame</w:t>
      </w:r>
      <w:proofErr w:type="spellEnd"/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Typ objektivu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Zoom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Minimální zaostřovací vzdálenost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33</w:t>
      </w:r>
      <w:r w:rsidRPr="00932231">
        <w:rPr>
          <w:rFonts w:cstheme="minorHAnsi"/>
          <w:sz w:val="20"/>
        </w:rPr>
        <w:t xml:space="preserve"> cm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Hmotnost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="00932231" w:rsidRPr="00932231">
        <w:rPr>
          <w:rFonts w:cstheme="minorHAnsi"/>
          <w:sz w:val="20"/>
        </w:rPr>
        <w:t>1165</w:t>
      </w:r>
      <w:r w:rsidRPr="00932231">
        <w:rPr>
          <w:rFonts w:cstheme="minorHAnsi"/>
          <w:sz w:val="20"/>
        </w:rPr>
        <w:t xml:space="preserve"> g</w:t>
      </w:r>
    </w:p>
    <w:p w:rsidR="0096392B" w:rsidRPr="00932231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932231">
        <w:rPr>
          <w:rFonts w:cstheme="minorHAnsi"/>
          <w:sz w:val="20"/>
        </w:rPr>
        <w:t>Utěsnění (prach/vlhkost)</w:t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</w:r>
      <w:r w:rsidRPr="00932231">
        <w:rPr>
          <w:rFonts w:cstheme="minorHAnsi"/>
          <w:sz w:val="20"/>
        </w:rPr>
        <w:tab/>
        <w:t>Ano</w:t>
      </w:r>
    </w:p>
    <w:p w:rsidR="0096392B" w:rsidRPr="00612F3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Číslo produktu</w:t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  <w:t>A0</w:t>
      </w:r>
      <w:r w:rsidR="00612F3F" w:rsidRPr="00612F3F">
        <w:rPr>
          <w:rFonts w:cstheme="minorHAnsi"/>
          <w:sz w:val="20"/>
        </w:rPr>
        <w:t>58</w:t>
      </w:r>
      <w:r w:rsidRPr="00612F3F">
        <w:rPr>
          <w:rFonts w:cstheme="minorHAnsi"/>
          <w:sz w:val="20"/>
        </w:rPr>
        <w:t>S</w:t>
      </w:r>
    </w:p>
    <w:p w:rsidR="0096392B" w:rsidRPr="00612F3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Značka</w:t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  <w:t>Tamron</w:t>
      </w:r>
    </w:p>
    <w:p w:rsidR="0096392B" w:rsidRPr="00612F3F" w:rsidRDefault="0096392B" w:rsidP="0096392B">
      <w:pPr>
        <w:pStyle w:val="Bezmezer"/>
        <w:numPr>
          <w:ilvl w:val="0"/>
          <w:numId w:val="1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Průměr filtru</w:t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Pr="00612F3F">
        <w:rPr>
          <w:rFonts w:cstheme="minorHAnsi"/>
          <w:sz w:val="20"/>
        </w:rPr>
        <w:tab/>
      </w:r>
      <w:r w:rsidR="00612F3F" w:rsidRPr="00612F3F">
        <w:rPr>
          <w:rFonts w:cstheme="minorHAnsi"/>
          <w:sz w:val="20"/>
        </w:rPr>
        <w:t>82</w:t>
      </w:r>
      <w:r w:rsidRPr="00612F3F">
        <w:rPr>
          <w:rFonts w:cstheme="minorHAnsi"/>
          <w:sz w:val="20"/>
        </w:rPr>
        <w:t xml:space="preserve"> mm</w:t>
      </w:r>
    </w:p>
    <w:p w:rsidR="0096392B" w:rsidRPr="00612F3F" w:rsidRDefault="0096392B" w:rsidP="0096392B">
      <w:pPr>
        <w:pStyle w:val="Bezmezer"/>
        <w:ind w:left="1080"/>
        <w:rPr>
          <w:rFonts w:cstheme="minorHAnsi"/>
          <w:color w:val="FF0000"/>
          <w:sz w:val="20"/>
        </w:rPr>
      </w:pPr>
    </w:p>
    <w:p w:rsidR="0096392B" w:rsidRPr="00612F3F" w:rsidRDefault="0096392B" w:rsidP="0096392B">
      <w:pPr>
        <w:pStyle w:val="Bezmezer"/>
        <w:rPr>
          <w:b/>
          <w:sz w:val="28"/>
        </w:rPr>
      </w:pPr>
      <w:r w:rsidRPr="00612F3F">
        <w:rPr>
          <w:b/>
          <w:sz w:val="28"/>
        </w:rPr>
        <w:t>Obsah balení:</w:t>
      </w:r>
    </w:p>
    <w:p w:rsidR="0096392B" w:rsidRPr="00612F3F" w:rsidRDefault="0096392B" w:rsidP="0096392B">
      <w:pPr>
        <w:pStyle w:val="Bezmezer"/>
        <w:rPr>
          <w:rFonts w:cstheme="minorHAnsi"/>
          <w:sz w:val="20"/>
        </w:rPr>
      </w:pPr>
    </w:p>
    <w:p w:rsidR="0096392B" w:rsidRPr="00612F3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Objektiv</w:t>
      </w:r>
    </w:p>
    <w:p w:rsidR="0096392B" w:rsidRPr="00612F3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Clona ve tvaru květu</w:t>
      </w:r>
    </w:p>
    <w:p w:rsidR="0096392B" w:rsidRPr="00612F3F" w:rsidRDefault="0096392B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Krytka objektivu</w:t>
      </w:r>
    </w:p>
    <w:p w:rsidR="00612F3F" w:rsidRPr="00612F3F" w:rsidRDefault="00612F3F" w:rsidP="0096392B">
      <w:pPr>
        <w:pStyle w:val="Bezmezer"/>
        <w:numPr>
          <w:ilvl w:val="0"/>
          <w:numId w:val="2"/>
        </w:numPr>
        <w:rPr>
          <w:rFonts w:cstheme="minorHAnsi"/>
          <w:sz w:val="20"/>
        </w:rPr>
      </w:pPr>
      <w:r w:rsidRPr="00612F3F">
        <w:rPr>
          <w:rFonts w:cstheme="minorHAnsi"/>
          <w:sz w:val="20"/>
        </w:rPr>
        <w:t>Stativový prstenec</w:t>
      </w:r>
    </w:p>
    <w:p w:rsidR="0096392B" w:rsidRPr="00612F3F" w:rsidRDefault="0096392B" w:rsidP="0096392B">
      <w:pPr>
        <w:jc w:val="both"/>
        <w:rPr>
          <w:b/>
          <w:sz w:val="28"/>
        </w:rPr>
      </w:pPr>
      <w:r w:rsidRPr="00612F3F">
        <w:rPr>
          <w:sz w:val="28"/>
        </w:rPr>
        <w:lastRenderedPageBreak/>
        <w:br/>
      </w:r>
      <w:r w:rsidRPr="00612F3F">
        <w:rPr>
          <w:b/>
          <w:sz w:val="28"/>
        </w:rPr>
        <w:t>Záruka 5 let</w:t>
      </w:r>
    </w:p>
    <w:p w:rsidR="0096392B" w:rsidRPr="00612F3F" w:rsidRDefault="0096392B" w:rsidP="00024EB2">
      <w:pPr>
        <w:jc w:val="both"/>
        <w:rPr>
          <w:sz w:val="20"/>
        </w:rPr>
      </w:pPr>
      <w:r w:rsidRPr="00612F3F">
        <w:rPr>
          <w:sz w:val="20"/>
        </w:rPr>
        <w:t>Společnost Tamron nabízí svým zákazníkům program s prodlouženou zárukou 2 + 3 roky. K obdržení speciálního záručního certifikátu musí být objektiv zakoupen prostřednictvím oficiálního prodejce společnosti Tamron. Pro uplatnění rozšířené záruky na 5 let je nezbytné doložení dokladu spolu s certifikátem o registraci.</w:t>
      </w:r>
    </w:p>
    <w:sectPr w:rsidR="0096392B" w:rsidRPr="00612F3F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24EB2"/>
    <w:rsid w:val="003748B4"/>
    <w:rsid w:val="00376DC1"/>
    <w:rsid w:val="004B2627"/>
    <w:rsid w:val="00500B78"/>
    <w:rsid w:val="00612F3F"/>
    <w:rsid w:val="0075197C"/>
    <w:rsid w:val="007D0C77"/>
    <w:rsid w:val="008A6923"/>
    <w:rsid w:val="00932231"/>
    <w:rsid w:val="0096392B"/>
    <w:rsid w:val="00C83CE1"/>
    <w:rsid w:val="00DE5855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7</cp:revision>
  <dcterms:created xsi:type="dcterms:W3CDTF">2022-08-05T11:06:00Z</dcterms:created>
  <dcterms:modified xsi:type="dcterms:W3CDTF">2023-11-24T09:35:00Z</dcterms:modified>
</cp:coreProperties>
</file>